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+254 712 345 678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Administrative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5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Organized and resourceful Administrative Officer with over 5 years of experience providing operational, logistical, and administrative support in NGO environments. Dedicated to improving internal systems, supporting program delivery, and ensuring efficient day-to-day operations. Passionate about strengthening organizational performance and enabling field teams to focus on community impact.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Office administration and logistics</w:t>
        <w:tab/>
        <w:tab/>
        <w:t xml:space="preserve">Procurement and asset management</w:t>
        <w:br w:type="textWrapping"/>
        <w:t xml:space="preserve">HR and staff coordination support</w:t>
        <w:tab/>
        <w:tab/>
        <w:t xml:space="preserve">Records and document management</w:t>
        <w:br w:type="textWrapping"/>
        <w:t xml:space="preserve">Fleet and travel coordination</w:t>
        <w:tab/>
        <w:tab/>
        <w:tab/>
        <w:t xml:space="preserve">Facility and inventory management</w:t>
        <w:br w:type="textWrapping"/>
        <w:t xml:space="preserve">Budget and petty cash handling</w:t>
        <w:tab/>
        <w:tab/>
        <w:tab/>
        <w:t xml:space="preserve">Event and meeting coordination</w:t>
        <w:br w:type="textWrapping"/>
        <w:t xml:space="preserve">Vendor and service contract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Admin Officer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daily office operations, including logistics, supplies, and facilities for over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40 staff members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Coordinated procurement of goods and services worth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KSh 10 million annually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ensuring transparency and cost efficiency.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Oversaw fleet management, scheduling vehicles for field visits, and reducing downtime by 25%.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recruitment and onboarding processes, including scheduling interviews and preparing orientation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Project Manager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MProvided administrative and logistical support to program teams implementing education and health projects in five counties.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office supplies, petty cash, and vendor payments, ensuring timely disbursement and accurate reconciliation.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maintaining HR files and leave records for over 60 staff members.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the preparation of travel logistics for field teams, including booking accommodation and transport.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Kenyatta University</w:t>
      </w:r>
    </w:p>
    <w:p w:rsidR="00000000" w:rsidDel="00000000" w:rsidP="00000000" w:rsidRDefault="00000000" w:rsidRPr="00000000" w14:paraId="00000017">
      <w:pPr>
        <w:tabs>
          <w:tab w:val="left" w:leader="none" w:pos="8587"/>
          <w:tab w:val="right" w:leader="none" w:pos="10562"/>
        </w:tabs>
        <w:spacing w:before="195" w:line="367" w:lineRule="auto"/>
        <w:ind w:left="720" w:right="116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Bachelor of Business Administration (BBA – Management Option)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NGO Office Administration – Kenya Institute of Management (KIM), 2021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Procurement and Logistics –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C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