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+254 712 345 678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Field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5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Dedicated Field Officer with over 5 years of experience implementing community development and humanitarian programs in rural and semi-urban areas. Skilled in community mobilization, field data collection, and project monitoring. Passionate about working directly with communities to promote sustainable change and improve livelihoods through participatory approaches.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Community engagement &amp; mobilization </w:t>
        <w:tab/>
        <w:tab/>
        <w:t xml:space="preserve">Field data collection &amp; reporting</w:t>
        <w:br w:type="textWrapping"/>
        <w:t xml:space="preserve">Training &amp; capacity building</w:t>
        <w:tab/>
        <w:tab/>
        <w:tab/>
        <w:t xml:space="preserve">Monitoring and evaluation (M&amp;E)</w:t>
        <w:br w:type="textWrapping"/>
        <w:t xml:space="preserve">Health, education, and livelihoods programs</w:t>
        <w:tab/>
        <w:t xml:space="preserve">Stakeholder collaboration</w:t>
        <w:br w:type="textWrapping"/>
        <w:t xml:space="preserve">Beneficiary needs assessment</w:t>
        <w:tab/>
        <w:tab/>
        <w:tab/>
        <w:t xml:space="preserve">Documentation &amp; report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Field Officer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Coordinated field implementation of a WASH and nutrition project across 15 rural communities, reaching over 6,200 beneficiaries.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regular community meetings to promote hygiene practices, resulting in a 40% reduction in waterborne diseases within a year.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Collected and verified field data for monthly and quarterly reports submitted to the donor and project headquarters.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Trained 60 community health volunteers (CHVs) on hygiene promotion, nutrition, and monitoring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Project Manager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Mobilized communities for education and livelihoods programs, increasing participation in adult literacy and vocational training by 35%.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distributing food and non-food items to 1,500 vulnerable households during drought response operations.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Facilitated focus group discussions and key informant interviews for needs assessments and impact evaluations.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Organized school awareness campaigns that improved girls’ enrolment by 18% within two academic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University of Nairobi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 of Arts in Development Studies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Strathmore University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Certificate in Project Management (PMD Pro)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Management Professional (PMP) – Ongoing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Monitoring &amp; Evaluation for Development Projects – Kenya Institute of Management (KIM), 2019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Leadership and Results-Based Management – UNDP Training Centre,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